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840" w:rsidRDefault="009B2840" w:rsidP="006F2CE7">
      <w:pPr>
        <w:spacing w:line="1500" w:lineRule="exact"/>
        <w:rPr>
          <w:rFonts w:ascii="宋体" w:hAnsi="宋体" w:cs="方正小标宋简体"/>
          <w:b/>
          <w:color w:val="FF0000"/>
          <w:w w:val="78"/>
          <w:sz w:val="104"/>
          <w:szCs w:val="104"/>
        </w:rPr>
      </w:pPr>
      <w:r>
        <w:rPr>
          <w:rFonts w:ascii="方正小标宋_GBK" w:eastAsia="方正小标宋_GBK" w:hAnsi="方正小标宋_GBK" w:cs="方正小标宋简体" w:hint="eastAsia"/>
          <w:color w:val="FF0000"/>
          <w:w w:val="78"/>
          <w:sz w:val="104"/>
          <w:szCs w:val="104"/>
        </w:rPr>
        <w:t>福建省学位委员会文件</w:t>
      </w:r>
    </w:p>
    <w:p w:rsidR="009B2840" w:rsidRDefault="009B2840" w:rsidP="009B2840">
      <w:pPr>
        <w:spacing w:line="710" w:lineRule="exact"/>
        <w:jc w:val="center"/>
        <w:rPr>
          <w:rFonts w:ascii="仿宋_GB2312" w:eastAsia="仿宋_GB2312"/>
          <w:sz w:val="32"/>
          <w:szCs w:val="32"/>
        </w:rPr>
      </w:pPr>
    </w:p>
    <w:p w:rsidR="009B2840" w:rsidRDefault="009B2840" w:rsidP="009B2840">
      <w:pPr>
        <w:pBdr>
          <w:top w:val="none" w:sz="0" w:space="1" w:color="auto"/>
          <w:left w:val="none" w:sz="0" w:space="4" w:color="auto"/>
          <w:bottom w:val="single" w:sz="24" w:space="8" w:color="FF0000"/>
          <w:right w:val="none" w:sz="0" w:space="4" w:color="auto"/>
        </w:pBdr>
        <w:spacing w:line="590" w:lineRule="exact"/>
        <w:jc w:val="center"/>
        <w:rPr>
          <w:rFonts w:ascii="仿宋_GB2312" w:eastAsia="仿宋_GB2312"/>
          <w:sz w:val="32"/>
          <w:szCs w:val="32"/>
        </w:rPr>
      </w:pPr>
      <w:bookmarkStart w:id="0" w:name="文件编号"/>
      <w:bookmarkStart w:id="1" w:name="_GoBack"/>
      <w:bookmarkEnd w:id="1"/>
      <w:r>
        <w:rPr>
          <w:rFonts w:ascii="仿宋_GB2312" w:eastAsia="仿宋_GB2312" w:hint="eastAsia"/>
          <w:sz w:val="32"/>
          <w:szCs w:val="32"/>
        </w:rPr>
        <w:t>闽学位〔2018〕</w:t>
      </w:r>
      <w:bookmarkEnd w:id="0"/>
      <w:r>
        <w:rPr>
          <w:rFonts w:ascii="仿宋_GB2312" w:eastAsia="仿宋_GB2312" w:hint="eastAsia"/>
          <w:sz w:val="32"/>
          <w:szCs w:val="32"/>
        </w:rPr>
        <w:t>5号</w:t>
      </w:r>
    </w:p>
    <w:p w:rsidR="009B2840" w:rsidRDefault="009B2840" w:rsidP="009B2840">
      <w:pPr>
        <w:spacing w:line="590" w:lineRule="exact"/>
        <w:jc w:val="center"/>
        <w:rPr>
          <w:rFonts w:ascii="方正小标宋简体" w:eastAsia="方正小标宋简体" w:hAnsi="宋体"/>
          <w:sz w:val="44"/>
          <w:szCs w:val="44"/>
        </w:rPr>
      </w:pPr>
      <w:bookmarkStart w:id="2" w:name="文件标题"/>
      <w:r>
        <w:rPr>
          <w:rFonts w:ascii="方正小标宋简体" w:eastAsia="方正小标宋简体" w:hAnsi="宋体" w:hint="eastAsia"/>
          <w:sz w:val="44"/>
          <w:szCs w:val="44"/>
        </w:rPr>
        <w:t>福建省学位委员会关于公布</w:t>
      </w:r>
      <w:r>
        <w:rPr>
          <w:rFonts w:ascii="方正小标宋简体" w:eastAsia="方正小标宋简体" w:hAnsi="宋体"/>
          <w:sz w:val="44"/>
          <w:szCs w:val="44"/>
        </w:rPr>
        <w:t>201</w:t>
      </w:r>
      <w:r>
        <w:rPr>
          <w:rFonts w:ascii="方正小标宋简体" w:eastAsia="方正小标宋简体" w:hAnsi="宋体" w:hint="eastAsia"/>
          <w:sz w:val="44"/>
          <w:szCs w:val="44"/>
        </w:rPr>
        <w:t>8</w:t>
      </w:r>
      <w:r>
        <w:rPr>
          <w:rFonts w:ascii="方正小标宋简体" w:eastAsia="方正小标宋简体" w:hAnsi="宋体"/>
          <w:sz w:val="44"/>
          <w:szCs w:val="44"/>
        </w:rPr>
        <w:t>年高校</w:t>
      </w:r>
    </w:p>
    <w:p w:rsidR="009B2840" w:rsidRDefault="009B2840" w:rsidP="009B2840">
      <w:pPr>
        <w:spacing w:line="590" w:lineRule="exact"/>
        <w:jc w:val="center"/>
        <w:rPr>
          <w:rFonts w:ascii="方正小标宋简体" w:eastAsia="方正小标宋简体" w:hAnsi="宋体"/>
          <w:sz w:val="44"/>
          <w:szCs w:val="44"/>
        </w:rPr>
      </w:pPr>
      <w:r>
        <w:rPr>
          <w:rFonts w:ascii="方正小标宋简体" w:eastAsia="方正小标宋简体" w:hAnsi="宋体"/>
          <w:sz w:val="44"/>
          <w:szCs w:val="44"/>
        </w:rPr>
        <w:t>增列学士学位授权专业名单的通知</w:t>
      </w:r>
      <w:bookmarkStart w:id="3" w:name="主送"/>
      <w:bookmarkEnd w:id="2"/>
    </w:p>
    <w:p w:rsidR="009B2840" w:rsidRDefault="009B2840" w:rsidP="009B2840">
      <w:pPr>
        <w:spacing w:line="590" w:lineRule="exact"/>
        <w:jc w:val="center"/>
        <w:rPr>
          <w:rFonts w:ascii="仿宋_GB2312" w:eastAsia="仿宋_GB2312" w:hAnsi="仿宋_GB2312" w:cs="仿宋_GB2312"/>
          <w:sz w:val="32"/>
          <w:szCs w:val="32"/>
        </w:rPr>
      </w:pPr>
    </w:p>
    <w:p w:rsidR="009B2840" w:rsidRDefault="009B2840" w:rsidP="009B2840">
      <w:pPr>
        <w:spacing w:line="590" w:lineRule="exact"/>
        <w:rPr>
          <w:rFonts w:ascii="仿宋_GB2312" w:eastAsia="仿宋_GB2312" w:hAnsi="仿宋_GB2312"/>
          <w:sz w:val="32"/>
          <w:szCs w:val="32"/>
        </w:rPr>
      </w:pPr>
      <w:r>
        <w:rPr>
          <w:rFonts w:ascii="仿宋_GB2312" w:eastAsia="仿宋_GB2312" w:hAnsi="仿宋_GB2312" w:hint="eastAsia"/>
          <w:sz w:val="32"/>
          <w:szCs w:val="32"/>
        </w:rPr>
        <w:t>有关高校</w:t>
      </w:r>
      <w:bookmarkEnd w:id="3"/>
      <w:r>
        <w:rPr>
          <w:rFonts w:ascii="仿宋_GB2312" w:eastAsia="仿宋_GB2312" w:hAnsi="仿宋_GB2312" w:hint="eastAsia"/>
          <w:sz w:val="32"/>
          <w:szCs w:val="32"/>
        </w:rPr>
        <w:t>：</w:t>
      </w:r>
    </w:p>
    <w:p w:rsidR="009B2840" w:rsidRDefault="009B2840" w:rsidP="009B2840">
      <w:pPr>
        <w:spacing w:line="590" w:lineRule="exact"/>
        <w:ind w:firstLineChars="200" w:firstLine="640"/>
        <w:jc w:val="left"/>
        <w:rPr>
          <w:rFonts w:ascii="仿宋_GB2312" w:eastAsia="仿宋_GB2312"/>
          <w:sz w:val="32"/>
          <w:szCs w:val="32"/>
        </w:rPr>
      </w:pPr>
      <w:r>
        <w:rPr>
          <w:rFonts w:ascii="仿宋_GB2312" w:eastAsia="仿宋_GB2312" w:hint="eastAsia"/>
          <w:sz w:val="32"/>
          <w:szCs w:val="32"/>
        </w:rPr>
        <w:t>根据《福建省学位委员会、福建省教育厅关于调整学士学位授权专业增列审核工作的通知》（闽学位〔2015〕4号）和《关于2016年高等院校增列学士学位授予单位和授权专业审核工作有关事项的通知》（闽学位办〔2016〕9号）精神，在院校自行审核申报基础上，省学位办根据有关文件进行了认真复核，经研究，同意厦门大学数字媒体技术等26所院校的61个本科专业增列为学士学位授权专业。现予以公布。</w:t>
      </w:r>
    </w:p>
    <w:p w:rsidR="009B2840" w:rsidRDefault="009B2840" w:rsidP="009B2840">
      <w:pPr>
        <w:spacing w:line="590" w:lineRule="exact"/>
        <w:ind w:firstLine="640"/>
        <w:rPr>
          <w:rFonts w:ascii="仿宋_GB2312" w:eastAsia="仿宋_GB2312"/>
          <w:sz w:val="32"/>
          <w:szCs w:val="32"/>
        </w:rPr>
      </w:pPr>
      <w:r>
        <w:rPr>
          <w:rFonts w:ascii="仿宋_GB2312" w:eastAsia="仿宋_GB2312" w:hint="eastAsia"/>
          <w:sz w:val="32"/>
          <w:szCs w:val="32"/>
        </w:rPr>
        <w:t>希望各高校严格按照《中华人民共和国学位条例》《中华人民共和国学位条例暂行实施办法》，加强专业内涵建设，深化教育教学改革，规范教学管理和学位管理，确保学士学位授予质量。</w:t>
      </w:r>
    </w:p>
    <w:p w:rsidR="009B2840" w:rsidRDefault="009B2840" w:rsidP="009B2840">
      <w:pPr>
        <w:spacing w:line="590" w:lineRule="exact"/>
        <w:jc w:val="center"/>
        <w:rPr>
          <w:rFonts w:ascii="仿宋_GB2312" w:eastAsia="仿宋_GB2312"/>
          <w:sz w:val="32"/>
          <w:szCs w:val="32"/>
        </w:rPr>
      </w:pPr>
      <w:r>
        <w:rPr>
          <w:rFonts w:ascii="仿宋_GB2312" w:eastAsia="仿宋_GB2312" w:hint="eastAsia"/>
          <w:sz w:val="32"/>
          <w:szCs w:val="32"/>
        </w:rPr>
        <w:t xml:space="preserve">             </w:t>
      </w:r>
    </w:p>
    <w:p w:rsidR="009B2840" w:rsidRDefault="009B2840" w:rsidP="009B2840">
      <w:pPr>
        <w:spacing w:line="590" w:lineRule="exact"/>
        <w:jc w:val="center"/>
        <w:rPr>
          <w:rFonts w:ascii="仿宋_GB2312" w:eastAsia="仿宋_GB2312"/>
          <w:sz w:val="32"/>
          <w:szCs w:val="32"/>
        </w:rPr>
      </w:pPr>
      <w:r>
        <w:rPr>
          <w:rFonts w:ascii="仿宋_GB2312" w:eastAsia="仿宋_GB2312" w:hint="eastAsia"/>
          <w:sz w:val="32"/>
          <w:szCs w:val="32"/>
        </w:rPr>
        <w:t xml:space="preserve">                                福建省学位委员会 </w:t>
      </w:r>
    </w:p>
    <w:p w:rsidR="009B2840" w:rsidRDefault="009B2840" w:rsidP="009B2840">
      <w:pPr>
        <w:spacing w:line="590" w:lineRule="exact"/>
        <w:ind w:firstLineChars="200" w:firstLine="640"/>
        <w:rPr>
          <w:rFonts w:ascii="仿宋_GB2312" w:eastAsia="仿宋_GB2312" w:hAnsi="宋体"/>
          <w:sz w:val="32"/>
          <w:szCs w:val="32"/>
        </w:rPr>
      </w:pPr>
      <w:r>
        <w:rPr>
          <w:rFonts w:ascii="仿宋_GB2312" w:eastAsia="仿宋_GB2312" w:hAnsi="宋体" w:hint="eastAsia"/>
          <w:sz w:val="32"/>
          <w:szCs w:val="32"/>
        </w:rPr>
        <w:t xml:space="preserve">                                 2018</w:t>
      </w:r>
      <w:r>
        <w:rPr>
          <w:rFonts w:ascii="仿宋_GB2312" w:eastAsia="仿宋_GB2312" w:hint="eastAsia"/>
          <w:sz w:val="32"/>
          <w:szCs w:val="32"/>
        </w:rPr>
        <w:t>年6月7</w:t>
      </w:r>
      <w:r>
        <w:rPr>
          <w:rFonts w:ascii="仿宋_GB2312" w:eastAsia="仿宋_GB2312" w:hAnsi="宋体" w:hint="eastAsia"/>
          <w:sz w:val="32"/>
          <w:szCs w:val="32"/>
        </w:rPr>
        <w:t>日</w:t>
      </w:r>
    </w:p>
    <w:p w:rsidR="009B2840" w:rsidRDefault="009B2840" w:rsidP="009B2840">
      <w:pPr>
        <w:widowControl/>
        <w:jc w:val="center"/>
        <w:outlineLvl w:val="0"/>
        <w:rPr>
          <w:rFonts w:ascii="宋体" w:hAnsi="宋体" w:cs="宋体"/>
          <w:b/>
          <w:bCs/>
          <w:kern w:val="0"/>
          <w:sz w:val="36"/>
          <w:szCs w:val="36"/>
        </w:rPr>
      </w:pPr>
      <w:r>
        <w:rPr>
          <w:rFonts w:ascii="宋体" w:hAnsi="宋体" w:cs="宋体" w:hint="eastAsia"/>
          <w:b/>
          <w:bCs/>
          <w:kern w:val="0"/>
          <w:sz w:val="36"/>
          <w:szCs w:val="36"/>
        </w:rPr>
        <w:lastRenderedPageBreak/>
        <w:t>2018年福建省增列学士学位授权专业名单</w:t>
      </w:r>
    </w:p>
    <w:tbl>
      <w:tblPr>
        <w:tblpPr w:leftFromText="180" w:rightFromText="180" w:vertAnchor="text" w:horzAnchor="page" w:tblpX="1070" w:tblpY="638"/>
        <w:tblOverlap w:val="never"/>
        <w:tblW w:w="989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834"/>
        <w:gridCol w:w="2895"/>
        <w:gridCol w:w="1560"/>
        <w:gridCol w:w="2865"/>
        <w:gridCol w:w="1740"/>
      </w:tblGrid>
      <w:tr w:rsidR="009B2840" w:rsidTr="00412835">
        <w:trPr>
          <w:trHeight w:val="283"/>
        </w:trPr>
        <w:tc>
          <w:tcPr>
            <w:tcW w:w="834" w:type="dxa"/>
            <w:shd w:val="clear" w:color="auto" w:fill="auto"/>
            <w:vAlign w:val="center"/>
          </w:tcPr>
          <w:p w:rsidR="009B2840" w:rsidRDefault="009B2840" w:rsidP="00412835">
            <w:pPr>
              <w:widowControl/>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序号</w:t>
            </w:r>
          </w:p>
        </w:tc>
        <w:tc>
          <w:tcPr>
            <w:tcW w:w="2895" w:type="dxa"/>
            <w:shd w:val="clear" w:color="auto" w:fill="auto"/>
            <w:vAlign w:val="center"/>
          </w:tcPr>
          <w:p w:rsidR="009B2840" w:rsidRDefault="009B2840" w:rsidP="00412835">
            <w:pPr>
              <w:widowControl/>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学校名称</w:t>
            </w:r>
          </w:p>
        </w:tc>
        <w:tc>
          <w:tcPr>
            <w:tcW w:w="1560" w:type="dxa"/>
            <w:shd w:val="clear" w:color="auto" w:fill="auto"/>
            <w:vAlign w:val="center"/>
          </w:tcPr>
          <w:p w:rsidR="009B2840" w:rsidRDefault="009B2840" w:rsidP="00412835">
            <w:pPr>
              <w:widowControl/>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专业代码</w:t>
            </w:r>
          </w:p>
        </w:tc>
        <w:tc>
          <w:tcPr>
            <w:tcW w:w="2865" w:type="dxa"/>
            <w:shd w:val="clear" w:color="auto" w:fill="auto"/>
            <w:vAlign w:val="center"/>
          </w:tcPr>
          <w:p w:rsidR="009B2840" w:rsidRDefault="009B2840" w:rsidP="00412835">
            <w:pPr>
              <w:widowControl/>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专业名称</w:t>
            </w:r>
          </w:p>
        </w:tc>
        <w:tc>
          <w:tcPr>
            <w:tcW w:w="1740" w:type="dxa"/>
            <w:shd w:val="clear" w:color="auto" w:fill="auto"/>
            <w:vAlign w:val="center"/>
          </w:tcPr>
          <w:p w:rsidR="009B2840" w:rsidRDefault="009B2840" w:rsidP="00412835">
            <w:pPr>
              <w:widowControl/>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学科门类</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1</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厦门大学</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080906</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数字媒体技术</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工学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2</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华侨大学</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080202</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机械设计制造及其自动化</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工学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3</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华侨大学</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130201</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音乐表演</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艺术学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4</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华侨大学</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130204</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舞蹈表演</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艺术学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5</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华侨大学</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020304</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投资学</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经济学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6</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华侨大学</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120903</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会展经济与管理</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管理学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7</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华侨大学</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070503</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人文地理与城乡规划</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管理学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8</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华侨大学</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080403</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材料化学</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工学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9</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华侨大学</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120801</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电子商务</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经济学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10</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福州大学</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082802</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城乡规划</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工学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11</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福州大学</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120701</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工业工程</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管理学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12</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福州大学</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130507</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工艺美术</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艺术学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13</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福建师范大学</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080905</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物联网工程</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工学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14</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福建农林大学</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090104</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植物科学与技术</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农学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15</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福建农林大学</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120602</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物流工程</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工学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16</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福建农林大学</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120103</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工程管理</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工学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17</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福建医科大学</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100705T</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药物分析</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理学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18</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福建中医药大学</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100702</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药物制剂</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理学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19</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闽南师范大学</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020307T</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经济与金融</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经济学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20</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闽南师范大学</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130506</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公共艺术</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艺术学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21</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闽南师范大学</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120102</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信息管理与信息系统</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工学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22</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闽南师范大学</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071202</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应用统计学</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理学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23</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福建工程学院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082803</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风景园林</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工学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24</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福建工程学院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081005T</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城市地下空间工程</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工学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25</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厦门理工学院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080906</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数字媒体技术</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工学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26</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厦门理工学院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081103</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港口航道与海岸工程</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工学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27</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泉州师范学院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120210</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文化产业管理</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管理学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28</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闽江学院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080601</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电气工程及其自动化</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工学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29</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闽江学院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081203T</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导航工程</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工学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30</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闽江学院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081701</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轻化工程</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工学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31</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莆田学院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040207T</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休闲体育</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教育学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32</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莆田学院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050262</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商务英语</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文学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33</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莆田学院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101001</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医学检验技术</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理学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34</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三明学院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040203</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社会体育指导与管理</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教育学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35</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三明学院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050262</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商务英语</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文学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36</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三明学院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050304</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传播学</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文学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lastRenderedPageBreak/>
              <w:t>37</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龙岩学院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080207</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车辆工程</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工学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38</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武夷学院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082801</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建筑学</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工学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39</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武夷学院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120210</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文化产业管理</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管理学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40</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福建江夏学院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081001</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土木工程</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工学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41</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福建江夏学院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120203K</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会计学</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管理学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42</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宁德师范学院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040106</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学前教育</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教育学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43</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宁德师范学院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070201</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物理学</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理学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44</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宁德师范学院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080701</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电子信息工程</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工学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45</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闽南理工学院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kern w:val="0"/>
                <w:sz w:val="22"/>
                <w:lang w:bidi="ar"/>
              </w:rPr>
              <w:t>130504</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产品设计</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艺术学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46</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闽南理工学院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120601</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物流管理</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管理学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47</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福州外语外贸学院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020102</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经济统计学</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经济学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48</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福州外语外贸学院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020304</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投资学</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经济学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49</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福州外语外贸学院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050204</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法语</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文学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50</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福州外语外贸学院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120102</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信息管理与信息系统</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管理学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51</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福州外语外贸学院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120203K</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会计学</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管理学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52</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华侨大学厦门工学院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020304</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投资学</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经济学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53</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华侨大学厦门工学院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082803</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风景园林</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工学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54</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福州大学阳光学院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080902</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软件工程</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工学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55</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福州大学阳光学院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080906</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数字媒体技术</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工学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56</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福州大学阳光学院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120103</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工程管理</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工学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57</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福州大学至诚学院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080207</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车辆工程</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工学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58</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福州大学至诚学院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080906</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数字媒体技术</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工学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59</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福建师范大学协和学院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040207T</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休闲体育</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教育学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60</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福建农林大学东方学院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080902</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软件工程</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工学</w:t>
            </w:r>
          </w:p>
        </w:tc>
      </w:tr>
      <w:tr w:rsidR="009B2840" w:rsidTr="00412835">
        <w:trPr>
          <w:trHeight w:val="283"/>
        </w:trPr>
        <w:tc>
          <w:tcPr>
            <w:tcW w:w="834"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61</w:t>
            </w:r>
          </w:p>
        </w:tc>
        <w:tc>
          <w:tcPr>
            <w:tcW w:w="289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集美大学诚毅学院</w:t>
            </w:r>
          </w:p>
        </w:tc>
        <w:tc>
          <w:tcPr>
            <w:tcW w:w="1560" w:type="dxa"/>
            <w:shd w:val="clear" w:color="auto" w:fill="auto"/>
            <w:vAlign w:val="center"/>
          </w:tcPr>
          <w:p w:rsidR="009B2840" w:rsidRDefault="009B2840" w:rsidP="00412835">
            <w:pPr>
              <w:widowControl/>
              <w:jc w:val="center"/>
              <w:textAlignment w:val="center"/>
              <w:rPr>
                <w:rFonts w:ascii="宋体" w:hAnsi="宋体" w:cs="宋体"/>
                <w:color w:val="000000"/>
                <w:sz w:val="22"/>
              </w:rPr>
            </w:pPr>
            <w:r>
              <w:rPr>
                <w:rFonts w:ascii="仿宋_GB2312" w:eastAsia="仿宋_GB2312" w:hAnsi="宋体" w:cs="仿宋_GB2312" w:hint="eastAsia"/>
                <w:color w:val="000000"/>
                <w:kern w:val="0"/>
                <w:sz w:val="22"/>
                <w:lang w:bidi="ar"/>
              </w:rPr>
              <w:t>040106</w:t>
            </w:r>
          </w:p>
        </w:tc>
        <w:tc>
          <w:tcPr>
            <w:tcW w:w="2865" w:type="dxa"/>
            <w:shd w:val="clear" w:color="auto" w:fill="auto"/>
            <w:vAlign w:val="center"/>
          </w:tcPr>
          <w:p w:rsidR="009B2840" w:rsidRDefault="009B2840" w:rsidP="00412835">
            <w:pPr>
              <w:widowControl/>
              <w:jc w:val="center"/>
              <w:textAlignment w:val="center"/>
              <w:rPr>
                <w:rFonts w:ascii="仿宋_GB2312" w:eastAsia="仿宋_GB2312" w:hAnsi="宋体" w:cs="宋体"/>
                <w:color w:val="000000"/>
                <w:sz w:val="22"/>
              </w:rPr>
            </w:pPr>
            <w:r>
              <w:rPr>
                <w:rFonts w:ascii="仿宋_GB2312" w:eastAsia="仿宋_GB2312" w:hAnsi="宋体" w:cs="仿宋_GB2312" w:hint="eastAsia"/>
                <w:color w:val="000000"/>
                <w:kern w:val="0"/>
                <w:sz w:val="22"/>
                <w:lang w:bidi="ar"/>
              </w:rPr>
              <w:t>学前教育</w:t>
            </w:r>
          </w:p>
        </w:tc>
        <w:tc>
          <w:tcPr>
            <w:tcW w:w="1740" w:type="dxa"/>
            <w:shd w:val="clear" w:color="auto" w:fill="auto"/>
            <w:vAlign w:val="center"/>
          </w:tcPr>
          <w:p w:rsidR="009B2840" w:rsidRDefault="009B2840" w:rsidP="00412835">
            <w:pPr>
              <w:widowControl/>
              <w:jc w:val="center"/>
              <w:textAlignment w:val="center"/>
              <w:rPr>
                <w:rFonts w:ascii="宋体" w:hAnsi="宋体" w:cs="宋体"/>
                <w:sz w:val="22"/>
              </w:rPr>
            </w:pPr>
            <w:r>
              <w:rPr>
                <w:rFonts w:ascii="仿宋_GB2312" w:eastAsia="仿宋_GB2312" w:hAnsi="宋体" w:cs="仿宋_GB2312" w:hint="eastAsia"/>
                <w:color w:val="000000"/>
                <w:kern w:val="0"/>
                <w:sz w:val="22"/>
                <w:lang w:bidi="ar"/>
              </w:rPr>
              <w:t>教育学</w:t>
            </w:r>
          </w:p>
        </w:tc>
      </w:tr>
    </w:tbl>
    <w:p w:rsidR="009B2840" w:rsidRDefault="009B2840" w:rsidP="009B2840">
      <w:pPr>
        <w:ind w:firstLine="420"/>
        <w:rPr>
          <w:rFonts w:ascii="仿宋_GB2312" w:eastAsia="仿宋_GB2312"/>
          <w:sz w:val="30"/>
          <w:szCs w:val="30"/>
        </w:rPr>
      </w:pPr>
    </w:p>
    <w:p w:rsidR="009B2840" w:rsidRDefault="009B2840" w:rsidP="009B2840">
      <w:pPr>
        <w:spacing w:line="240" w:lineRule="exact"/>
        <w:rPr>
          <w:rFonts w:ascii="仿宋_GB2312" w:eastAsia="仿宋_GB2312"/>
          <w:sz w:val="30"/>
          <w:szCs w:val="30"/>
        </w:rPr>
      </w:pPr>
    </w:p>
    <w:p w:rsidR="009B2840" w:rsidRDefault="009B2840" w:rsidP="009B2840">
      <w:pPr>
        <w:spacing w:line="240" w:lineRule="exact"/>
        <w:rPr>
          <w:rFonts w:ascii="仿宋_GB2312" w:eastAsia="仿宋_GB2312"/>
          <w:sz w:val="30"/>
          <w:szCs w:val="30"/>
        </w:rPr>
      </w:pPr>
    </w:p>
    <w:p w:rsidR="009B2840" w:rsidRDefault="009B2840" w:rsidP="009B2840">
      <w:pPr>
        <w:spacing w:line="240" w:lineRule="exact"/>
        <w:rPr>
          <w:rFonts w:ascii="仿宋_GB2312" w:eastAsia="仿宋_GB2312"/>
          <w:sz w:val="30"/>
          <w:szCs w:val="30"/>
        </w:rPr>
      </w:pPr>
    </w:p>
    <w:p w:rsidR="009B2840" w:rsidRDefault="009B2840" w:rsidP="009B2840">
      <w:pPr>
        <w:spacing w:line="240" w:lineRule="exact"/>
        <w:rPr>
          <w:rFonts w:ascii="仿宋_GB2312" w:eastAsia="仿宋_GB2312"/>
          <w:sz w:val="30"/>
          <w:szCs w:val="30"/>
        </w:rPr>
      </w:pPr>
    </w:p>
    <w:p w:rsidR="009B2840" w:rsidRDefault="009B2840" w:rsidP="009B2840">
      <w:pPr>
        <w:spacing w:line="240" w:lineRule="exact"/>
        <w:rPr>
          <w:rFonts w:ascii="仿宋_GB2312" w:eastAsia="仿宋_GB2312"/>
          <w:sz w:val="30"/>
          <w:szCs w:val="30"/>
        </w:rPr>
      </w:pPr>
    </w:p>
    <w:p w:rsidR="009B2840" w:rsidRDefault="009B2840" w:rsidP="009B2840">
      <w:pPr>
        <w:spacing w:line="240" w:lineRule="exact"/>
        <w:rPr>
          <w:rFonts w:ascii="仿宋_GB2312" w:eastAsia="仿宋_GB2312"/>
          <w:sz w:val="30"/>
          <w:szCs w:val="30"/>
        </w:rPr>
      </w:pPr>
    </w:p>
    <w:p w:rsidR="009B2840" w:rsidRDefault="009B2840" w:rsidP="009B2840">
      <w:pPr>
        <w:spacing w:line="240" w:lineRule="exact"/>
        <w:rPr>
          <w:rFonts w:ascii="仿宋_GB2312" w:eastAsia="仿宋_GB2312"/>
          <w:sz w:val="30"/>
          <w:szCs w:val="30"/>
        </w:rPr>
      </w:pPr>
    </w:p>
    <w:p w:rsidR="009B2840" w:rsidRDefault="009B2840" w:rsidP="009B2840">
      <w:pPr>
        <w:spacing w:line="240" w:lineRule="exact"/>
        <w:rPr>
          <w:rFonts w:ascii="仿宋_GB2312" w:eastAsia="仿宋_GB2312"/>
          <w:sz w:val="30"/>
          <w:szCs w:val="30"/>
        </w:rPr>
      </w:pPr>
    </w:p>
    <w:p w:rsidR="009B2840" w:rsidRDefault="009B2840" w:rsidP="009B2840">
      <w:pPr>
        <w:spacing w:line="240" w:lineRule="exact"/>
        <w:rPr>
          <w:rFonts w:ascii="仿宋_GB2312" w:eastAsia="仿宋_GB2312"/>
          <w:sz w:val="30"/>
          <w:szCs w:val="30"/>
        </w:rPr>
      </w:pPr>
    </w:p>
    <w:p w:rsidR="009B2840" w:rsidRDefault="009B2840" w:rsidP="009B2840">
      <w:pPr>
        <w:spacing w:line="240" w:lineRule="exact"/>
        <w:rPr>
          <w:rFonts w:ascii="仿宋_GB2312" w:eastAsia="仿宋_GB2312"/>
          <w:sz w:val="30"/>
          <w:szCs w:val="30"/>
        </w:rPr>
      </w:pPr>
    </w:p>
    <w:p w:rsidR="009B2840" w:rsidRDefault="009B2840" w:rsidP="009B2840">
      <w:pPr>
        <w:spacing w:line="240" w:lineRule="exact"/>
        <w:rPr>
          <w:rFonts w:ascii="仿宋_GB2312" w:eastAsia="仿宋_GB2312"/>
          <w:sz w:val="30"/>
          <w:szCs w:val="30"/>
        </w:rPr>
      </w:pPr>
    </w:p>
    <w:p w:rsidR="009B2840" w:rsidRDefault="009B2840" w:rsidP="009B2840">
      <w:pPr>
        <w:spacing w:line="240" w:lineRule="exact"/>
        <w:rPr>
          <w:rFonts w:ascii="仿宋_GB2312" w:eastAsia="仿宋_GB2312"/>
          <w:sz w:val="30"/>
          <w:szCs w:val="30"/>
        </w:rPr>
      </w:pPr>
    </w:p>
    <w:p w:rsidR="009B2840" w:rsidRDefault="009B2840" w:rsidP="009B2840">
      <w:pPr>
        <w:ind w:firstLine="420"/>
        <w:rPr>
          <w:rFonts w:ascii="仿宋_GB2312" w:eastAsia="仿宋_GB2312" w:hAnsi="仿宋_GB2312"/>
          <w:sz w:val="30"/>
          <w:szCs w:val="30"/>
        </w:rPr>
      </w:pPr>
      <w:r>
        <w:rPr>
          <w:rFonts w:ascii="仿宋_GB2312" w:eastAsia="仿宋_GB2312" w:hint="eastAsia"/>
          <w:sz w:val="30"/>
          <w:szCs w:val="30"/>
        </w:rPr>
        <w:t xml:space="preserve"> </w:t>
      </w:r>
      <w:r>
        <w:rPr>
          <w:rFonts w:ascii="仿宋_GB2312" w:eastAsia="仿宋_GB2312" w:hAnsi="仿宋_GB2312" w:hint="eastAsia"/>
          <w:sz w:val="30"/>
          <w:szCs w:val="30"/>
        </w:rPr>
        <w:t>(</w:t>
      </w:r>
      <w:bookmarkStart w:id="4" w:name="公开属性"/>
      <w:r>
        <w:rPr>
          <w:rFonts w:ascii="仿宋_GB2312" w:eastAsia="仿宋_GB2312" w:hAnsi="仿宋_GB2312" w:hint="eastAsia"/>
          <w:sz w:val="30"/>
          <w:szCs w:val="30"/>
        </w:rPr>
        <w:t>主动公开</w:t>
      </w:r>
      <w:bookmarkEnd w:id="4"/>
      <w:r>
        <w:rPr>
          <w:rFonts w:ascii="仿宋_GB2312" w:eastAsia="仿宋_GB2312" w:hAnsi="仿宋_GB2312" w:hint="eastAsia"/>
          <w:sz w:val="30"/>
          <w:szCs w:val="30"/>
        </w:rPr>
        <w:t>)</w:t>
      </w:r>
    </w:p>
    <w:p w:rsidR="009B2840" w:rsidRDefault="009B2840" w:rsidP="009B2840">
      <w:pPr>
        <w:ind w:firstLine="420"/>
      </w:pPr>
    </w:p>
    <w:p w:rsidR="009B2840" w:rsidRDefault="009B2840" w:rsidP="009B2840">
      <w:pPr>
        <w:ind w:firstLineChars="100" w:firstLine="210"/>
        <w:rPr>
          <w:rFonts w:ascii="仿宋_GB2312" w:eastAsia="仿宋_GB2312"/>
          <w:sz w:val="28"/>
          <w:szCs w:val="28"/>
        </w:rPr>
      </w:pPr>
      <w:r>
        <w:rPr>
          <w:noProof/>
        </w:rPr>
        <mc:AlternateContent>
          <mc:Choice Requires="wps">
            <w:drawing>
              <wp:anchor distT="0" distB="0" distL="114300" distR="114300" simplePos="0" relativeHeight="251661312" behindDoc="0" locked="0" layoutInCell="1" allowOverlap="1" wp14:anchorId="39931084" wp14:editId="59ED650E">
                <wp:simplePos x="0" y="0"/>
                <wp:positionH relativeFrom="column">
                  <wp:posOffset>-19050</wp:posOffset>
                </wp:positionH>
                <wp:positionV relativeFrom="paragraph">
                  <wp:posOffset>381000</wp:posOffset>
                </wp:positionV>
                <wp:extent cx="5600700" cy="635"/>
                <wp:effectExtent l="0" t="0" r="19050" b="37465"/>
                <wp:wrapNone/>
                <wp:docPr id="1" name="直接箭头连接符 1"/>
                <wp:cNvGraphicFramePr/>
                <a:graphic xmlns:a="http://schemas.openxmlformats.org/drawingml/2006/main">
                  <a:graphicData uri="http://schemas.microsoft.com/office/word/2010/wordprocessingShape">
                    <wps:wsp>
                      <wps:cNvCnPr/>
                      <wps:spPr>
                        <a:xfrm>
                          <a:off x="0" y="0"/>
                          <a:ext cx="5600700" cy="635"/>
                        </a:xfrm>
                        <a:prstGeom prst="straightConnector1">
                          <a:avLst/>
                        </a:prstGeom>
                        <a:ln w="19050" cap="flat" cmpd="sng">
                          <a:solidFill>
                            <a:srgbClr val="000000"/>
                          </a:solidFill>
                          <a:prstDash val="solid"/>
                          <a:headEnd type="none" w="med" len="med"/>
                          <a:tailEnd type="none" w="med" len="med"/>
                        </a:ln>
                      </wps:spPr>
                      <wps:bodyPr/>
                    </wps:wsp>
                  </a:graphicData>
                </a:graphic>
              </wp:anchor>
            </w:drawing>
          </mc:Choice>
          <mc:Fallback>
            <w:pict>
              <v:shapetype id="_x0000_t32" coordsize="21600,21600" o:spt="32" o:oned="t" path="m,l21600,21600e" filled="f">
                <v:path arrowok="t" fillok="f" o:connecttype="none"/>
                <o:lock v:ext="edit" shapetype="t"/>
              </v:shapetype>
              <v:shape id="直接箭头连接符 1" o:spid="_x0000_s1026" type="#_x0000_t32" style="position:absolute;left:0;text-align:left;margin-left:-1.5pt;margin-top:30pt;width:441pt;height:.0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OGl6AEAAKEDAAAOAAAAZHJzL2Uyb0RvYy54bWysU0uOEzEQ3SNxB8t70p1BCdBKZxYJwwbB&#10;SMABKra725J/cpl0cgkugMQKWAGr2XMaGI5B2QkZPhuE6IW77Kp6rveqvDjfWcO2KqL2ruXTSc2Z&#10;csJL7fqWv3h+cec+Z5jASTDeqZbvFfLz5e1bizE06swP3kgVGYE4bMbQ8iGl0FQVikFZwIkPypGz&#10;89FCom3sKxlhJHRrqrO6nlejjzJELxQina4PTr4s+F2nRHradagSMy2n2lJZY1k3ea2WC2j6CGHQ&#10;4lgG/EMVFrSjS09Qa0jAXkb9B5TVInr0XZoIbyvfdVqowoHYTOvf2DwbIKjChcTBcJIJ/x+seLK9&#10;jExL6h1nDiy16Pr11ddX764/ffzy9urb5zfZ/vCeTbNUY8CGMlbuMh53GC5j5r3ros1/YsR2Rd79&#10;SV61S0zQ4Wxe1/dq6oIg3/zuLCNWN6khYnqkvGXZaDmmCLof0so7R230cVoEhu1jTIfEHwn5XuPY&#10;SBwe1LOMDzRJnYFEpg3EDV1fktEbLS+0MTkFY79Zmci2kGejfMeKfgnLt6wBh0NcceUwaAYF8qGT&#10;LO0DqeZovHmuwSrJmVH0GrJVIhNo8zeRJIZxpEmW+SBstjZe7ove5ZzmoKh2nNk8aD/vS/bNy1p+&#10;BwAA//8DAFBLAwQUAAYACAAAACEA//jOtdoAAAAIAQAADwAAAGRycy9kb3ducmV2LnhtbEyPz06D&#10;QBDG7ya+w2ZMvJh2qSaIlKUxJp48iNUHGGAKRHaWsEtZ397pSU/z55t88/uKQ7SjOtPsB8cGdtsE&#10;FHHj2oE7A1+fr5sMlA/ILY6OycAPeTiU11cF5q1b+YPOx9ApMWGfo4E+hCnX2jc9WfRbNxGLdnKz&#10;xSDj3Ol2xlXM7ajvkyTVFgeWDz1O9NJT831crIH4nnKIVRbrlZc3n91VEW1lzO1NfN6DChTD3zFc&#10;8AUdSmGq3cKtV6OBzYNECQbSRKro2eOTNPVlsQNdFvp/gPIXAAD//wMAUEsBAi0AFAAGAAgAAAAh&#10;ALaDOJL+AAAA4QEAABMAAAAAAAAAAAAAAAAAAAAAAFtDb250ZW50X1R5cGVzXS54bWxQSwECLQAU&#10;AAYACAAAACEAOP0h/9YAAACUAQAACwAAAAAAAAAAAAAAAAAvAQAAX3JlbHMvLnJlbHNQSwECLQAU&#10;AAYACAAAACEAeFzhpegBAAChAwAADgAAAAAAAAAAAAAAAAAuAgAAZHJzL2Uyb0RvYy54bWxQSwEC&#10;LQAUAAYACAAAACEA//jOtdoAAAAIAQAADwAAAAAAAAAAAAAAAABCBAAAZHJzL2Rvd25yZXYueG1s&#10;UEsFBgAAAAAEAAQA8wAAAEkFAAAAAA==&#10;" strokeweight="1.5pt"/>
            </w:pict>
          </mc:Fallback>
        </mc:AlternateContent>
      </w:r>
      <w:r>
        <w:rPr>
          <w:noProof/>
        </w:rPr>
        <mc:AlternateContent>
          <mc:Choice Requires="wps">
            <w:drawing>
              <wp:anchor distT="0" distB="0" distL="114300" distR="114300" simplePos="0" relativeHeight="251659264" behindDoc="0" locked="0" layoutInCell="1" allowOverlap="1" wp14:anchorId="333A1E97" wp14:editId="57B4439F">
                <wp:simplePos x="0" y="0"/>
                <wp:positionH relativeFrom="column">
                  <wp:posOffset>0</wp:posOffset>
                </wp:positionH>
                <wp:positionV relativeFrom="paragraph">
                  <wp:posOffset>0</wp:posOffset>
                </wp:positionV>
                <wp:extent cx="5600700" cy="635"/>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5600700" cy="635"/>
                        </a:xfrm>
                        <a:prstGeom prst="straightConnector1">
                          <a:avLst/>
                        </a:prstGeom>
                        <a:ln w="19050" cap="flat" cmpd="sng">
                          <a:solidFill>
                            <a:srgbClr val="000000"/>
                          </a:solidFill>
                          <a:prstDash val="solid"/>
                          <a:headEnd type="none" w="med" len="med"/>
                          <a:tailEnd type="none" w="med" len="med"/>
                        </a:ln>
                      </wps:spPr>
                      <wps:bodyPr/>
                    </wps:wsp>
                  </a:graphicData>
                </a:graphic>
              </wp:anchor>
            </w:drawing>
          </mc:Choice>
          <mc:Fallback>
            <w:pict>
              <v:shape id="直接箭头连接符 2" o:spid="_x0000_s1026" type="#_x0000_t32" style="position:absolute;left:0;text-align:left;margin-left:0;margin-top:0;width:441pt;height:.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mer6QEAAKEDAAAOAAAAZHJzL2Uyb0RvYy54bWysU0uOEzEQ3SNxB8t70p2gBIjSmUXCsEEQ&#10;CThAxXZ3W/JPLpNOLsEFkFgBK2A1e04DwzEoOyHDZ4MQvaguu+o9Vz2XFxd7a9hORdTeNXw8qjlT&#10;TnipXdfwF88v79znDBM4CcY71fCDQn6xvH1rMYS5mvjeG6kiIxKH8yE0vE8pzKsKRa8s4MgH5SjY&#10;+mgh0TJ2lYwwELs11aSuZ9XgowzRC4VIu+tjkC8Lf9sqkZ62LarETMOptlRsLHabbbVcwLyLEHot&#10;TmXAP1RhQTs69Ey1hgTsZdR/UFktokffppHwtvJtq4UqPVA34/q3bp71EFTphcTBcJYJ/x+teLLb&#10;RKZlwyecObB0Rdevr76+enf96eOXt1ffPr/J/of3bJKlGgLOCbFym3haYdjE3Pe+jTb/qSO2L/Ie&#10;zvKqfWKCNqezur5X0y0Iis3uTjNjdQMNEdMj5S3LTsMxRdBdn1beObpGH8dFYNg9xnQE/gDkc41j&#10;A83fg3qa+YEmqTWQyLWBekPXFTB6o+WlNiZDMHbblYlsB3k2yneq6Je0fMoasD/mlVBOg3mvQD50&#10;kqVDINUcjTfPNVglOTOKXkP2SmYCbf4mk8QwjjTJMh+Fzd7Wy0PRu+zTHBTVTjObB+3ndUHfvKzl&#10;dwAAAP//AwBQSwMEFAAGAAgAAAAhAHtuYY7VAAAAAgEAAA8AAABkcnMvZG93bnJldi54bWxMj8FO&#10;wzAQRO9I/IO1SL0g6tBDFaVxKoTEiQOh8AGbeEki4nUUO435+265wGWl0Yxm35TH5EZ1pjkMng08&#10;bjNQxK23A3cGPj9eHnJQISJbHD2TgR8KcKxub0osrF/5nc6n2Ckp4VCggT7GqdA6tD05DFs/EYv3&#10;5WeHUeTcaTvjKuVu1Lss22uHA8uHHid67qn9Pi3OQHrbc0x1npqVl9eQ39cJXW3M5i49HUBFSvEv&#10;DFd8QYdKmBq/sA1qNCBD4u8VL893IptrSFel/o9eXQAAAP//AwBQSwECLQAUAAYACAAAACEAtoM4&#10;kv4AAADhAQAAEwAAAAAAAAAAAAAAAAAAAAAAW0NvbnRlbnRfVHlwZXNdLnhtbFBLAQItABQABgAI&#10;AAAAIQA4/SH/1gAAAJQBAAALAAAAAAAAAAAAAAAAAC8BAABfcmVscy8ucmVsc1BLAQItABQABgAI&#10;AAAAIQCdYmer6QEAAKEDAAAOAAAAAAAAAAAAAAAAAC4CAABkcnMvZTJvRG9jLnhtbFBLAQItABQA&#10;BgAIAAAAIQB7bmGO1QAAAAIBAAAPAAAAAAAAAAAAAAAAAEMEAABkcnMvZG93bnJldi54bWxQSwUG&#10;AAAAAAQABADzAAAARQUAAAAA&#10;" strokeweight="1.5pt"/>
            </w:pict>
          </mc:Fallback>
        </mc:AlternateContent>
      </w:r>
      <w:r>
        <w:rPr>
          <w:rFonts w:ascii="仿宋_GB2312" w:eastAsia="仿宋_GB2312" w:hint="eastAsia"/>
          <w:sz w:val="28"/>
          <w:szCs w:val="28"/>
        </w:rPr>
        <w:t>福建省教育厅办公室</w:t>
      </w:r>
      <w:r>
        <w:rPr>
          <w:sz w:val="28"/>
          <w:szCs w:val="28"/>
        </w:rPr>
        <w:t xml:space="preserve">              </w:t>
      </w:r>
      <w:r>
        <w:rPr>
          <w:rFonts w:ascii="仿宋_GB2312" w:eastAsia="仿宋_GB2312"/>
          <w:sz w:val="28"/>
          <w:szCs w:val="28"/>
        </w:rPr>
        <w:t xml:space="preserve"> </w:t>
      </w:r>
      <w:r>
        <w:rPr>
          <w:rFonts w:ascii="仿宋_GB2312" w:eastAsia="仿宋_GB2312" w:hint="eastAsia"/>
          <w:sz w:val="28"/>
          <w:szCs w:val="28"/>
        </w:rPr>
        <w:t xml:space="preserve">      2018年6月8日 印发</w:t>
      </w:r>
    </w:p>
    <w:p w:rsidR="009B2840" w:rsidRPr="009B2840" w:rsidRDefault="009B2840">
      <w:pPr>
        <w:ind w:firstLine="560"/>
        <w:rPr>
          <w:sz w:val="28"/>
          <w:szCs w:val="28"/>
        </w:rPr>
      </w:pPr>
    </w:p>
    <w:sectPr w:rsidR="009B2840" w:rsidRPr="009B2840">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5773" w:rsidRDefault="007C5773" w:rsidP="009B2840">
      <w:r>
        <w:separator/>
      </w:r>
    </w:p>
  </w:endnote>
  <w:endnote w:type="continuationSeparator" w:id="0">
    <w:p w:rsidR="007C5773" w:rsidRDefault="007C5773" w:rsidP="009B2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方正小标宋_GBK">
    <w:altName w:val="Arial Unicode MS"/>
    <w:charset w:val="86"/>
    <w:family w:val="script"/>
    <w:pitch w:val="default"/>
    <w:sig w:usb0="00000000" w:usb1="080E0000" w:usb2="00000000" w:usb3="00000000" w:csb0="00040000" w:csb1="00000000"/>
  </w:font>
  <w:font w:name="方正小标宋简体">
    <w:altName w:val="Arial Unicode MS"/>
    <w:charset w:val="86"/>
    <w:family w:val="auto"/>
    <w:pitch w:val="variable"/>
    <w:sig w:usb0="00000000" w:usb1="080E0000" w:usb2="00000010" w:usb3="00000000" w:csb0="00040000" w:csb1="00000000"/>
  </w:font>
  <w:font w:name="Calibri Light">
    <w:altName w:val="Times New Roman"/>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840" w:rsidRDefault="009B2840">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840" w:rsidRDefault="009B2840">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840" w:rsidRDefault="009B2840">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5773" w:rsidRDefault="007C5773" w:rsidP="009B2840">
      <w:r>
        <w:separator/>
      </w:r>
    </w:p>
  </w:footnote>
  <w:footnote w:type="continuationSeparator" w:id="0">
    <w:p w:rsidR="007C5773" w:rsidRDefault="007C5773" w:rsidP="009B28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840" w:rsidRDefault="009B2840">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840" w:rsidRDefault="009B2840" w:rsidP="009B2840">
    <w:pPr>
      <w:pStyle w:val="a3"/>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840" w:rsidRDefault="009B284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C534E8"/>
    <w:rsid w:val="006F2CE7"/>
    <w:rsid w:val="007C5773"/>
    <w:rsid w:val="00970523"/>
    <w:rsid w:val="009B2840"/>
    <w:rsid w:val="009B43E7"/>
    <w:rsid w:val="36136D55"/>
    <w:rsid w:val="72C534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2">
    <w:name w:val="heading 2"/>
    <w:basedOn w:val="a"/>
    <w:next w:val="a"/>
    <w:unhideWhenUsed/>
    <w:qFormat/>
    <w:pPr>
      <w:keepNext/>
      <w:keepLines/>
      <w:spacing w:before="260" w:after="260"/>
      <w:outlineLvl w:val="1"/>
    </w:pPr>
    <w:rPr>
      <w:rFonts w:ascii="Arial" w:eastAsia="仿宋_GB2312"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9B28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9B2840"/>
    <w:rPr>
      <w:kern w:val="2"/>
      <w:sz w:val="18"/>
      <w:szCs w:val="18"/>
    </w:rPr>
  </w:style>
  <w:style w:type="paragraph" w:styleId="a4">
    <w:name w:val="footer"/>
    <w:basedOn w:val="a"/>
    <w:link w:val="Char0"/>
    <w:rsid w:val="009B2840"/>
    <w:pPr>
      <w:tabs>
        <w:tab w:val="center" w:pos="4153"/>
        <w:tab w:val="right" w:pos="8306"/>
      </w:tabs>
      <w:snapToGrid w:val="0"/>
      <w:jc w:val="left"/>
    </w:pPr>
    <w:rPr>
      <w:sz w:val="18"/>
      <w:szCs w:val="18"/>
    </w:rPr>
  </w:style>
  <w:style w:type="character" w:customStyle="1" w:styleId="Char0">
    <w:name w:val="页脚 Char"/>
    <w:basedOn w:val="a0"/>
    <w:link w:val="a4"/>
    <w:rsid w:val="009B2840"/>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2">
    <w:name w:val="heading 2"/>
    <w:basedOn w:val="a"/>
    <w:next w:val="a"/>
    <w:unhideWhenUsed/>
    <w:qFormat/>
    <w:pPr>
      <w:keepNext/>
      <w:keepLines/>
      <w:spacing w:before="260" w:after="260"/>
      <w:outlineLvl w:val="1"/>
    </w:pPr>
    <w:rPr>
      <w:rFonts w:ascii="Arial" w:eastAsia="仿宋_GB2312"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9B28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9B2840"/>
    <w:rPr>
      <w:kern w:val="2"/>
      <w:sz w:val="18"/>
      <w:szCs w:val="18"/>
    </w:rPr>
  </w:style>
  <w:style w:type="paragraph" w:styleId="a4">
    <w:name w:val="footer"/>
    <w:basedOn w:val="a"/>
    <w:link w:val="Char0"/>
    <w:rsid w:val="009B2840"/>
    <w:pPr>
      <w:tabs>
        <w:tab w:val="center" w:pos="4153"/>
        <w:tab w:val="right" w:pos="8306"/>
      </w:tabs>
      <w:snapToGrid w:val="0"/>
      <w:jc w:val="left"/>
    </w:pPr>
    <w:rPr>
      <w:sz w:val="18"/>
      <w:szCs w:val="18"/>
    </w:rPr>
  </w:style>
  <w:style w:type="character" w:customStyle="1" w:styleId="Char0">
    <w:name w:val="页脚 Char"/>
    <w:basedOn w:val="a0"/>
    <w:link w:val="a4"/>
    <w:rsid w:val="009B2840"/>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329</Words>
  <Characters>1880</Characters>
  <Application>Microsoft Office Word</Application>
  <DocSecurity>0</DocSecurity>
  <Lines>15</Lines>
  <Paragraphs>4</Paragraphs>
  <ScaleCrop>false</ScaleCrop>
  <Company>微软中国</Company>
  <LinksUpToDate>false</LinksUpToDate>
  <CharactersWithSpaces>2205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Users</cp:lastModifiedBy>
  <cp:revision>2</cp:revision>
  <dcterms:created xsi:type="dcterms:W3CDTF">2018-06-12T06:46:00Z</dcterms:created>
  <dcterms:modified xsi:type="dcterms:W3CDTF">2018-06-12T06:46:00Z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